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91FF7" w14:textId="77777777" w:rsidR="009E5D79" w:rsidRDefault="0030762E">
      <w:pPr>
        <w:pStyle w:val="Normal"/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O B W I E S Z C Z E N I E</w:t>
      </w:r>
    </w:p>
    <w:p w14:paraId="4F3BF363" w14:textId="77777777" w:rsidR="009E5D79" w:rsidRDefault="009E5D79">
      <w:pPr>
        <w:pStyle w:val="Normal"/>
        <w:ind w:firstLine="284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49F500B2" w14:textId="77777777" w:rsidR="009E5D79" w:rsidRDefault="0030762E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Komornik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ądowy przy Sądzie Rejonowym w Kolbuszowej Andrzej Zając Kancelaria Komornicza Nr I w Kolbuszowej zawiadamia na podstawie art. 953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 związku z art. 955 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kpc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, że w 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dniu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 12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-05-2023r. o godz. 09:45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w S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ądzie Rejonowym w Kolbuszowej  w sali nr: 115 odbędzie się</w:t>
      </w:r>
    </w:p>
    <w:p w14:paraId="57287D70" w14:textId="77777777" w:rsidR="009E5D79" w:rsidRDefault="009E5D7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4761042F" w14:textId="77777777" w:rsidR="009E5D79" w:rsidRDefault="0030762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P I E R W S Z A    L I C Y T A C J A</w:t>
      </w:r>
    </w:p>
    <w:p w14:paraId="6FEA5863" w14:textId="77777777" w:rsidR="009E5D79" w:rsidRDefault="009E5D7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0C4DBB97" w14:textId="77777777" w:rsidR="009E5D79" w:rsidRDefault="0030762E">
      <w:pPr>
        <w:pStyle w:val="Normal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ści gruntowej-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zabudowanej  budynkiem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mieszkalnym składającej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sie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z działki ewidencyjnej nr 1334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 powierzchni 1,1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131 ha  sklasyfikowana jako: </w:t>
      </w:r>
      <w:r>
        <w:rPr>
          <w:rFonts w:ascii="Times New Roman" w:hAnsi="Times New Roman" w:cs="Times New Roman"/>
          <w:color w:val="000000"/>
          <w:sz w:val="20"/>
          <w:szCs w:val="20"/>
          <w:lang w:val="en-US" w:eastAsia="en-US" w:bidi="en-US"/>
        </w:rPr>
        <w:t xml:space="preserve">RV-0,0805; RVI-0,0954; Lzr-RVI-0,3268; LsIV-0,2873;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LsVI-0,2918; Br-RV-0,0313 po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łożonej w miejscowości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Komor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ów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posiadaj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ącej założoną Księgę Wieczystą nr TB1K/00046334/7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 Sądzie Rejonowym w Kolbuszowej.</w:t>
      </w:r>
    </w:p>
    <w:p w14:paraId="1D223971" w14:textId="77777777" w:rsidR="009E5D79" w:rsidRDefault="0030762E">
      <w:pPr>
        <w:pStyle w:val="Normal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Budynek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mieszkalny o powierzchnia zabudowy – 92,20m2.</w:t>
      </w:r>
    </w:p>
    <w:p w14:paraId="4502769F" w14:textId="77777777" w:rsidR="009E5D79" w:rsidRDefault="0030762E">
      <w:pPr>
        <w:pStyle w:val="Normal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Powierzchnia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użytkowa  –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115,97m2.</w:t>
      </w:r>
    </w:p>
    <w:p w14:paraId="0A8D920C" w14:textId="77777777" w:rsidR="009E5D79" w:rsidRDefault="009E5D79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7428997E" w14:textId="77777777" w:rsidR="009E5D79" w:rsidRDefault="0030762E">
      <w:pPr>
        <w:pStyle w:val="Normal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Nieruchomość stanowi własność Iwony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Macina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.</w:t>
      </w:r>
    </w:p>
    <w:p w14:paraId="54956D62" w14:textId="77777777" w:rsidR="009E5D79" w:rsidRDefault="009E5D7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03923720" w14:textId="77777777" w:rsidR="009E5D79" w:rsidRDefault="0030762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Nieruchomość oszacowana jest na kwotę: 451 000,00 zł.</w:t>
      </w:r>
    </w:p>
    <w:p w14:paraId="1B597708" w14:textId="77777777" w:rsidR="009E5D79" w:rsidRDefault="0030762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Cena wywoławcza w powyższej licytacji wynosi: trzy czwarte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wartości oszacowania tj. kwotę: 338 250,00 zł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.</w:t>
      </w:r>
    </w:p>
    <w:p w14:paraId="52382E6B" w14:textId="77777777" w:rsidR="009E5D79" w:rsidRDefault="0030762E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</w:t>
      </w:r>
    </w:p>
    <w:p w14:paraId="5059A7C5" w14:textId="77777777" w:rsidR="009E5D79" w:rsidRDefault="009E5D79">
      <w:pPr>
        <w:pStyle w:val="Normal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</w:pPr>
    </w:p>
    <w:p w14:paraId="1A8615CC" w14:textId="77777777" w:rsidR="009E5D79" w:rsidRDefault="009E5D79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24FEF5CC" w14:textId="77777777" w:rsidR="009E5D79" w:rsidRDefault="0030762E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Przyst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puj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 do przetargu obowi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zany jest 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ł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ż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y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ć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kojmie w wysoko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ci jednej dziesi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tej cz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ęś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ci sumy oszacowania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tj. 45 100,00 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ł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najp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óź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niej w dniu poprzedzaj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ą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cym przetarg na urz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ędowy rachunek komornika w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 BS O/Kolbuszowa nr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pl-PL" w:bidi="pl-PL"/>
        </w:rPr>
        <w:t>74918000082001000056560001</w:t>
      </w:r>
      <w:r>
        <w:rPr>
          <w:rFonts w:ascii="Times New Roman" w:hAnsi="Times New Roman" w:cs="Times New Roman"/>
          <w:color w:val="000000"/>
          <w:sz w:val="22"/>
          <w:szCs w:val="22"/>
          <w:lang w:eastAsia="pl-PL" w:bidi="pl-PL"/>
        </w:rPr>
        <w:t xml:space="preserve">,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r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ękojmia może być również złożona w książeczce oszczędnościowej zaopatrzonej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w upoważnienie właściciela książeczki do wypłaty całego wkładu stosownie do prawomocnego postanowienia sądu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o utracie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rękojmi albo w inny wskazany przez komornika sposób;</w:t>
      </w:r>
    </w:p>
    <w:p w14:paraId="64285FE9" w14:textId="77777777" w:rsidR="009E5D79" w:rsidRDefault="0030762E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Przy licytacji b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ędą zachowane warunki licytacji, jeżeli dodatkowym publicznym obwieszczeniem nie będą podane do wiadomości odmienne warunki.</w:t>
      </w:r>
    </w:p>
    <w:p w14:paraId="7BF44E73" w14:textId="77777777" w:rsidR="009E5D79" w:rsidRDefault="0030762E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 ciągu dwóch tygodni poprzedzających dzień licytacji można o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glądać nieruchomość oraz przeglądać protokół opisu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i oszacowania który znajdują się do wglądu w Sądzie Rejonowym Wydział Cywilny w Kolbuszowej przy </w:t>
      </w:r>
      <w:r>
        <w:br/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ul. Tyszkiewiczów </w:t>
      </w:r>
      <w:proofErr w:type="gramStart"/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4 .</w:t>
      </w:r>
      <w:proofErr w:type="gramEnd"/>
    </w:p>
    <w:p w14:paraId="667285B0" w14:textId="77777777" w:rsidR="009E5D79" w:rsidRDefault="0030762E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 xml:space="preserve">Prawa osób trzecich nie będą przeszkodą do przeprowadzenia licytacji i przysądzenia 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na własność na rzecz nabywcy bez zastrzeżeń, jeśli osoby te przed rozpoczęciem licytacji nie złożą dowodu, że wniosły powództwo o zwolnienie spod egzekucji tej nieruchomości lub innych przedmiotów razem z nią zajętych.</w:t>
      </w:r>
    </w:p>
    <w:p w14:paraId="527FB124" w14:textId="77777777" w:rsidR="009E5D79" w:rsidRDefault="0030762E">
      <w:pPr>
        <w:pStyle w:val="Normal"/>
        <w:jc w:val="both"/>
      </w:pP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Użytkowanie, służebności i prawa doży</w:t>
      </w:r>
      <w:r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  <w:t>wotnika, jeśli nie są ujawnione w księdze wieczystej i nie zostaną zgłoszone najpóźniej na trzy dni przed rozpoczęciem licytacji nie będą uwzględniane w dalszym toku egzekucji i wygasną z chwilą uprawomocnienia się postanowienia o przysądzaniu własności.</w:t>
      </w:r>
    </w:p>
    <w:p w14:paraId="07BB83C1" w14:textId="77777777" w:rsidR="009E5D79" w:rsidRDefault="009E5D79">
      <w:pPr>
        <w:pStyle w:val="Normal"/>
        <w:rPr>
          <w:rFonts w:ascii="Times New Roman" w:hAnsi="Times New Roman" w:cs="Times New Roman"/>
          <w:color w:val="000000"/>
          <w:sz w:val="20"/>
          <w:szCs w:val="20"/>
          <w:lang w:eastAsia="pl-PL" w:bidi="pl-PL"/>
        </w:rPr>
      </w:pPr>
    </w:p>
    <w:p w14:paraId="3FBA3624" w14:textId="77777777" w:rsidR="009E5D79" w:rsidRDefault="009E5D79">
      <w:pPr>
        <w:pStyle w:val="Standard"/>
        <w:rPr>
          <w:rFonts w:hint="eastAsia"/>
        </w:rPr>
      </w:pPr>
    </w:p>
    <w:sectPr w:rsidR="009E5D7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99119" w14:textId="77777777" w:rsidR="00000000" w:rsidRDefault="0030762E">
      <w:pPr>
        <w:rPr>
          <w:rFonts w:hint="eastAsia"/>
        </w:rPr>
      </w:pPr>
      <w:r>
        <w:separator/>
      </w:r>
    </w:p>
  </w:endnote>
  <w:endnote w:type="continuationSeparator" w:id="0">
    <w:p w14:paraId="49C9D3A9" w14:textId="77777777" w:rsidR="00000000" w:rsidRDefault="0030762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BD14D" w14:textId="77777777" w:rsidR="00000000" w:rsidRDefault="0030762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216356" w14:textId="77777777" w:rsidR="00000000" w:rsidRDefault="0030762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E5D79"/>
    <w:rsid w:val="0030762E"/>
    <w:rsid w:val="009E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6E31"/>
  <w15:docId w15:val="{919CCBC0-7523-4775-86CB-C334CE0A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">
    <w:name w:val="[Normal]"/>
    <w:pPr>
      <w:widowControl w:val="0"/>
    </w:pPr>
    <w:rPr>
      <w:rFonts w:ascii="Arial" w:eastAsia="Times New Roman" w:hAnsi="Arial"/>
    </w:rPr>
  </w:style>
  <w:style w:type="paragraph" w:customStyle="1" w:styleId="Default">
    <w:name w:val="Default"/>
    <w:basedOn w:val="Normal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352</Words>
  <Characters>2115</Characters>
  <Application>Microsoft Office Word</Application>
  <DocSecurity>4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Wilk Bogdan</dc:creator>
  <cp:lastModifiedBy>Bogdan Wilk</cp:lastModifiedBy>
  <cp:revision>2</cp:revision>
  <dcterms:created xsi:type="dcterms:W3CDTF">2023-04-04T07:43:00Z</dcterms:created>
  <dcterms:modified xsi:type="dcterms:W3CDTF">2023-04-04T07:43:00Z</dcterms:modified>
</cp:coreProperties>
</file>