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B1DB0" w14:textId="77777777" w:rsidR="00A873C1" w:rsidRDefault="00A873C1">
      <w:pPr>
        <w:pStyle w:val="Standard"/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4"/>
        <w:gridCol w:w="2274"/>
        <w:gridCol w:w="3488"/>
      </w:tblGrid>
      <w:tr w:rsidR="00A873C1" w14:paraId="240339AC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9AEC5D8" w14:textId="77777777" w:rsidR="00A873C1" w:rsidRDefault="001129E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  <w:jc w:val="right"/>
            </w:pPr>
            <w:r>
              <w:rPr>
                <w:rFonts w:ascii="Times New Roman" w:eastAsia="Times New Roman" w:hAnsi="Times New Roman" w:cs="Times New Roman"/>
                <w:color w:val="000000"/>
                <w:lang w:eastAsia="pl-PL" w:bidi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Kolbuszowa, dnia 16.02.2023</w:t>
            </w:r>
          </w:p>
          <w:p w14:paraId="40E8F8AA" w14:textId="77777777" w:rsidR="00A873C1" w:rsidRDefault="001129E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Komornik Sądowy przy Sądzie Rejonowym w Kolbuszowej</w:t>
            </w:r>
          </w:p>
          <w:p w14:paraId="44985BB6" w14:textId="77777777" w:rsidR="00A873C1" w:rsidRDefault="001129E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Monika Toczek Kancelaria Komornicza nr II w Kolbuszowej</w:t>
            </w:r>
          </w:p>
        </w:tc>
      </w:tr>
      <w:tr w:rsidR="00A873C1" w14:paraId="611F729A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C84C2F" w14:textId="77777777" w:rsidR="00A873C1" w:rsidRDefault="001129E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36-100 Kolbuszowa, ul.  Obrońców Pokoju 15</w:t>
            </w:r>
          </w:p>
        </w:tc>
      </w:tr>
      <w:tr w:rsidR="00A873C1" w14:paraId="1B6FB972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bottom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E7C5B62" w14:textId="77777777" w:rsidR="00A873C1" w:rsidRDefault="001129E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tel.: 797 921 423, email: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kolbuszowa.toczek@komornik.pl</w:t>
            </w:r>
          </w:p>
          <w:p w14:paraId="53CA857C" w14:textId="77777777" w:rsidR="00A873C1" w:rsidRDefault="001129E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  <w:tab w:val="left" w:pos="30960"/>
                <w:tab w:val="left" w:pos="31680"/>
                <w:tab w:val="left" w:pos="3168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konto: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BNP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Paribas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 Bank Polska S. A. 23 1600 1462 1801 9264 2000 0004</w:t>
            </w:r>
          </w:p>
        </w:tc>
      </w:tr>
      <w:tr w:rsidR="00A873C1" w14:paraId="5DBB6198" w14:textId="77777777">
        <w:tblPrEx>
          <w:tblCellMar>
            <w:top w:w="0" w:type="dxa"/>
            <w:bottom w:w="0" w:type="dxa"/>
          </w:tblCellMar>
        </w:tblPrEx>
        <w:tc>
          <w:tcPr>
            <w:tcW w:w="4444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2A0443" w14:textId="77777777" w:rsidR="00A873C1" w:rsidRDefault="001129E5">
            <w:pPr>
              <w:pStyle w:val="Normal"/>
              <w:tabs>
                <w:tab w:val="left" w:pos="55"/>
                <w:tab w:val="left" w:pos="311"/>
                <w:tab w:val="left" w:pos="1134"/>
                <w:tab w:val="left" w:pos="3683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11" w:right="1644" w:hanging="3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sygn. akt Km 16/22</w:t>
            </w:r>
          </w:p>
        </w:tc>
        <w:tc>
          <w:tcPr>
            <w:tcW w:w="576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6EF23A81" w14:textId="77777777" w:rsidR="00A873C1" w:rsidRDefault="00A873C1">
            <w:pPr>
              <w:pStyle w:val="Normal"/>
              <w:tabs>
                <w:tab w:val="left" w:pos="311"/>
                <w:tab w:val="left" w:pos="1134"/>
                <w:tab w:val="left" w:pos="24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11" w:hanging="311"/>
              <w:jc w:val="right"/>
              <w:rPr>
                <w:color w:val="000000"/>
                <w:lang w:val="en-US" w:eastAsia="en-US" w:bidi="en-US"/>
              </w:rPr>
            </w:pPr>
          </w:p>
        </w:tc>
      </w:tr>
      <w:tr w:rsidR="00A873C1" w14:paraId="3E287C10" w14:textId="77777777">
        <w:tblPrEx>
          <w:tblCellMar>
            <w:top w:w="0" w:type="dxa"/>
            <w:bottom w:w="0" w:type="dxa"/>
          </w:tblCellMar>
        </w:tblPrEx>
        <w:tc>
          <w:tcPr>
            <w:tcW w:w="6718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789BF26F" w14:textId="77777777" w:rsidR="00A873C1" w:rsidRDefault="001129E5">
            <w:pPr>
              <w:pStyle w:val="Normal"/>
              <w:tabs>
                <w:tab w:val="left" w:pos="3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11" w:hanging="311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 odpowiedzi należy podać: sygn. akt Km 16/22</w:t>
            </w:r>
          </w:p>
        </w:tc>
        <w:tc>
          <w:tcPr>
            <w:tcW w:w="348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B093F3" w14:textId="77777777" w:rsidR="00A873C1" w:rsidRDefault="00A873C1">
            <w:pPr>
              <w:pStyle w:val="Normal"/>
              <w:tabs>
                <w:tab w:val="left" w:pos="311"/>
                <w:tab w:val="left" w:pos="1134"/>
                <w:tab w:val="left" w:pos="24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11" w:hanging="311"/>
              <w:rPr>
                <w:color w:val="000000"/>
                <w:lang w:val="en-US" w:eastAsia="en-US" w:bidi="en-US"/>
              </w:rPr>
            </w:pPr>
          </w:p>
        </w:tc>
      </w:tr>
    </w:tbl>
    <w:p w14:paraId="322C40CA" w14:textId="77777777" w:rsidR="00A873C1" w:rsidRDefault="001129E5">
      <w:pPr>
        <w:pStyle w:val="Normal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O B W I E S Z C Z E N I E</w:t>
      </w:r>
    </w:p>
    <w:p w14:paraId="66BE4A17" w14:textId="77777777" w:rsidR="00A873C1" w:rsidRDefault="00A873C1">
      <w:pPr>
        <w:pStyle w:val="Normal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2D2D43DA" w14:textId="77777777" w:rsidR="00A873C1" w:rsidRDefault="001129E5">
      <w:pPr>
        <w:pStyle w:val="Normal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Komornik Sądowy przy Sądzie Rejonowym w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Kolbuszowej Monika Toczek Kancelaria Komornicza nr II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 Kolbuszowej na podstawie art. 953 k.p.c. w związku z art. 955 k.p.c. zawiadamia, że w dniu:</w:t>
      </w:r>
    </w:p>
    <w:p w14:paraId="3C90C076" w14:textId="77777777" w:rsidR="00A873C1" w:rsidRDefault="001129E5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</w:p>
    <w:p w14:paraId="18344689" w14:textId="77777777" w:rsidR="00A873C1" w:rsidRDefault="001129E5">
      <w:pPr>
        <w:pStyle w:val="Normal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30 marca 2023 r., o godz.: 09:30</w:t>
      </w:r>
    </w:p>
    <w:p w14:paraId="2882BD2E" w14:textId="77777777" w:rsidR="00A873C1" w:rsidRDefault="00A873C1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3AA04529" w14:textId="77777777" w:rsidR="00A873C1" w:rsidRDefault="001129E5">
      <w:pPr>
        <w:pStyle w:val="Normal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 sali nr 115 Sądu Rejonowego w Kolbuszowej (ul. Tyszkiewiczów 4, 36-1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00 Kolbuszowa), odbędzie się:</w:t>
      </w:r>
    </w:p>
    <w:p w14:paraId="3189F942" w14:textId="77777777" w:rsidR="00A873C1" w:rsidRDefault="00A873C1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</w:p>
    <w:p w14:paraId="152C17C5" w14:textId="77777777" w:rsidR="00A873C1" w:rsidRDefault="001129E5">
      <w:pPr>
        <w:pStyle w:val="Normal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lang w:eastAsia="pl-PL" w:bidi="pl-PL"/>
        </w:rPr>
        <w:t>PIERWSZA LICYTACJA NIERUCHOMOŚCI nr KW TB1K/00021567/8</w:t>
      </w:r>
    </w:p>
    <w:p w14:paraId="57989C48" w14:textId="77777777" w:rsidR="00A873C1" w:rsidRDefault="001129E5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pl-PL" w:bidi="pl-PL"/>
        </w:rPr>
        <w:t xml:space="preserve"> </w:t>
      </w:r>
    </w:p>
    <w:p w14:paraId="14B06D72" w14:textId="77777777" w:rsidR="00A873C1" w:rsidRDefault="001129E5">
      <w:pPr>
        <w:pStyle w:val="Normal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opisanej jako zabudowana działka gruntu nr 619/2 o powierzchni 0,1100 ha położona w miejscowości Kolbuszowa Dolna, gm. Kolbuszowa, dla której IV Wydział Ksiąg Wieczyst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ych Sądu Rejonowego w Kolbuszowej prowadzi KW nr TB1K/00021567/8 należącej do dłużników na zasadzie wspólności ustawowej majątkowej małżeńskiej.</w:t>
      </w:r>
    </w:p>
    <w:p w14:paraId="4F63687C" w14:textId="77777777" w:rsidR="00A873C1" w:rsidRDefault="001129E5">
      <w:pPr>
        <w:pStyle w:val="Normal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Działka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ewid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. nr 619/2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zabudowana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jest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budynkiem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mieszkalnym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jednorodzinnym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działka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zagospodarowana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ogrodzon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porośnięta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trawą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drzewami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krzewami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podjazd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chodniki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utwardzone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części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kostką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brukową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teren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płaski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Dojazd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działki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ewid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. nr 619/2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realizowany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jest za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pomocą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drogi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gminnej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bliskiej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odległości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drogi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głównej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wojewódzkiej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nr 875.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Działka 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ży w odległości ok. 2,3 km od ścisłego centrum miasta Kolbuszowa.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Sąsiedztwo działki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ewid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nr 619/2 stanowi zabudowa mieszkaniowa jednorodzinna i zagrodowa oraz na tyłach nieruchomości grunty rolne.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Działka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ewid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. nr 619/2 zabudowana jest budynkiem mieszkal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nym jednorodzinnym, piętrowym. Budynek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niepodpiwniczony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wybudowany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technologii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tradycyjnej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murowanej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w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latach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1998-2000,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dach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budynku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wielospadowy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konstrukcji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drewnianej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pokryty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blachą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Budynek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całkowicie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wykończony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ociepleniem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zewnętrznym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styropian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oraz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tynkiem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zewnętrznym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tradycyjnym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US" w:bidi="en-US"/>
        </w:rPr>
        <w:t>.</w:t>
      </w:r>
    </w:p>
    <w:p w14:paraId="33AC2E1F" w14:textId="77777777" w:rsidR="00A873C1" w:rsidRDefault="001129E5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jc w:val="both"/>
      </w:pPr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>Dom o powierzchni zabudowy: 147,00 m</w:t>
      </w:r>
      <w:r>
        <w:rPr>
          <w:rFonts w:eastAsia="Times New Roman" w:cs="Times New Roman"/>
          <w:color w:val="000000"/>
          <w:position w:val="6"/>
          <w:sz w:val="20"/>
          <w:szCs w:val="20"/>
          <w:lang w:eastAsia="pl-PL" w:bidi="pl-PL"/>
        </w:rPr>
        <w:t>2</w:t>
      </w:r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i </w:t>
      </w:r>
      <w:proofErr w:type="gramStart"/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>powierzchni  użytkowej</w:t>
      </w:r>
      <w:proofErr w:type="gramEnd"/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>: 192,00 m</w:t>
      </w:r>
      <w:r>
        <w:rPr>
          <w:rFonts w:eastAsia="Times New Roman" w:cs="Times New Roman"/>
          <w:color w:val="000000"/>
          <w:position w:val="6"/>
          <w:sz w:val="20"/>
          <w:szCs w:val="20"/>
          <w:lang w:eastAsia="pl-PL" w:bidi="pl-PL"/>
        </w:rPr>
        <w:t xml:space="preserve">2 </w:t>
      </w:r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>, posiadający dwie kondygnacje nadziemne, niepodpiwniczony. Dom murowany z pustaka i cegły, fundamenty betonowe, nad pa</w:t>
      </w:r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>rterem i piętrem strop żelbetowy tradycyjny. Dach wielospadowy, konstrukcji drewnianej, pokryty blachą, kominy z cegły pełnej. Stolarka okienna PVC, na klatce schodowej, ganku i w składzie opałowym drewniane, drzwi wejściowe metalowe, elewacja z zastosowan</w:t>
      </w:r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iem tynku tradycyjnego, parapety zewnętrzne stalowe, rynny i rury spustowe z PVC. Budynek wyposażony jest w instalację wodociągową z sieci gminnej, kanalizacyjną z sieci gminnej, elektroenergetyczną z sieci, gazową z sieci. C.o. oraz </w:t>
      </w:r>
      <w:proofErr w:type="spellStart"/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>c.w.u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 xml:space="preserve"> z kotła na paliw</w:t>
      </w:r>
      <w:r>
        <w:rPr>
          <w:rFonts w:eastAsia="Times New Roman" w:cs="Times New Roman"/>
          <w:color w:val="000000"/>
          <w:sz w:val="20"/>
          <w:szCs w:val="20"/>
          <w:lang w:eastAsia="pl-PL" w:bidi="pl-PL"/>
        </w:rPr>
        <w:t>o stałe.</w:t>
      </w:r>
    </w:p>
    <w:p w14:paraId="6F722344" w14:textId="77777777" w:rsidR="00A873C1" w:rsidRDefault="00A873C1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8BFD6E7" w14:textId="77777777" w:rsidR="00A873C1" w:rsidRDefault="001129E5">
      <w:pPr>
        <w:pStyle w:val="Normal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Nieruchomość oszacowana jest na kwotę 450 129,00 zł.</w:t>
      </w:r>
    </w:p>
    <w:p w14:paraId="42A3FE4F" w14:textId="77777777" w:rsidR="00A873C1" w:rsidRDefault="001129E5">
      <w:pPr>
        <w:pStyle w:val="Normal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Cena wywoławcza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w powyższej licytacji wynosi: 3/4 wartości oszacowania tj.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kwotę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337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596,75 zł.</w:t>
      </w:r>
    </w:p>
    <w:p w14:paraId="286004DA" w14:textId="77777777" w:rsidR="00A873C1" w:rsidRDefault="001129E5">
      <w:pPr>
        <w:pStyle w:val="Normal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Przystępujący do licytacji zobowiązany jest złożyć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rękojmię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w wysokości 10% ceny oszacowania nieruchomości, tj. kwotę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45 012,90 zł.</w:t>
      </w:r>
    </w:p>
    <w:p w14:paraId="06A6E51B" w14:textId="77777777" w:rsidR="00A873C1" w:rsidRDefault="001129E5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14:paraId="4BB00257" w14:textId="77777777" w:rsidR="00A873C1" w:rsidRDefault="001129E5">
      <w:pPr>
        <w:pStyle w:val="Normal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Rękojmię należy złożyć najpóźniej w dniu poprzedzającym przetarg w gotówce, na rachunek bankowy kancelarii: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 w:bidi="pl-PL"/>
        </w:rPr>
        <w:t xml:space="preserve">BNP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 w:bidi="pl-PL"/>
        </w:rPr>
        <w:t>Paribas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 w:bidi="pl-PL"/>
        </w:rPr>
        <w:t xml:space="preserve"> Bank Polska S. A.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pl-PL" w:bidi="pl-PL"/>
        </w:rPr>
        <w:t>23 1600 1462 1801 9264 2000 0004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lub w pos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taci książeczki oszczędnościowej banków upoważnionych według prawa bankowego do jej wystawienia, zaopatrzonej w upoważnienie właściciela do wypłaty całego wkładu stosownie do prawomocnego postanowienia Sądu o utracie rękojmi. Składając rękojmię licytant wi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nien wskazać sygnaturę niniejszego postępowania (tj. Km 16/22 - z dopiskiem RĘKOJMIA), swój adres oraz nr PESEL. W dniu licytacji rękojmia nie będzie przyjmowana. Nieruchomość można oglądać w ciągu dwóch tygodni przed licytacją po wcześniejszym uzgodnieniu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terminu z komornikiem. Operat szacunkowy tej nieruchomości znajduje się do wglądu w biurze komornika. Akta postępowania egzekucyjnego na dwa tygodnie przed licytacją zostaną przesłane do Wydziału Cywilnego Sądu Rejonowego w Kolbuszowej, jednakże w kancela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rii komornika pozostanie do wglądu odpis operatu. Prawa osób trzecich nie będą przeszkodą do licytacji i przysądzenia własności na rzecz nabywcy bez zastrzeżeń, jeżeli osoby te przed rozpoczęciem licytacji nie złożą dowodu, iż wniosły powództwo o zwolnieni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e nieruchomości lub przedmiotów razem z nią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zajętych  od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 egzekucji i uzyskały w tym zakresie orzeczenie wstrzymujące egzekucję. Użytkowanie, służebności i prawa dożywotnika, jeżeli nie są ujawnione w księdze wieczystej lub przez złożenie dokumentu do zbior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u dokumentów i nie zostaną zgłoszone najpóźniej na trzy dni przed rozpoczęciem licytacji, nie będą uwzględnione w dalszym toku egzekucji i wygasną z chwilą uprawomocnienia się postanowienia o przysądzeniu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lastRenderedPageBreak/>
        <w:t>własności. Pełnomocnictwo do udziału w przetargu po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>winno być stwierdzone dokumentem z podpisem urzędowo poświadczonym. Podpisy na pełnomocnictwach udzielonych przez państwowe jednostki organizacyjne lub jednostki organizacyjne samorządu terytorialnego oraz na pełnomocnictwach udzielonych adwokatom lub radc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 w:bidi="pl-PL"/>
        </w:rPr>
        <w:t xml:space="preserve">om prawnym nie wymagają poświadczenia.  </w:t>
      </w:r>
    </w:p>
    <w:tbl>
      <w:tblPr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4"/>
        <w:gridCol w:w="3307"/>
      </w:tblGrid>
      <w:tr w:rsidR="00A873C1" w14:paraId="575875E4" w14:textId="77777777">
        <w:tblPrEx>
          <w:tblCellMar>
            <w:top w:w="0" w:type="dxa"/>
            <w:bottom w:w="0" w:type="dxa"/>
          </w:tblCellMar>
        </w:tblPrEx>
        <w:tc>
          <w:tcPr>
            <w:tcW w:w="5764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14:paraId="3A56B306" w14:textId="77777777" w:rsidR="00A873C1" w:rsidRDefault="00A873C1">
            <w:pPr>
              <w:pStyle w:val="Normal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07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14:paraId="2B1ECAD7" w14:textId="77777777" w:rsidR="00A873C1" w:rsidRDefault="001129E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  <w:t>K O M O R N I K</w:t>
            </w:r>
          </w:p>
        </w:tc>
      </w:tr>
      <w:tr w:rsidR="00A873C1" w14:paraId="59CA14BB" w14:textId="77777777">
        <w:tblPrEx>
          <w:tblCellMar>
            <w:top w:w="0" w:type="dxa"/>
            <w:bottom w:w="0" w:type="dxa"/>
          </w:tblCellMar>
        </w:tblPrEx>
        <w:tc>
          <w:tcPr>
            <w:tcW w:w="5764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14:paraId="77AF9938" w14:textId="77777777" w:rsidR="00A873C1" w:rsidRDefault="00A873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07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14:paraId="2696010A" w14:textId="77777777" w:rsidR="00A873C1" w:rsidRDefault="00A873C1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  <w:p w14:paraId="63B2B4AC" w14:textId="77777777" w:rsidR="00A873C1" w:rsidRDefault="001129E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  <w:t>Monika Toczek</w:t>
            </w:r>
          </w:p>
        </w:tc>
      </w:tr>
    </w:tbl>
    <w:p w14:paraId="388A3981" w14:textId="77777777" w:rsidR="00A873C1" w:rsidRDefault="00A873C1">
      <w:pPr>
        <w:pStyle w:val="Normal"/>
        <w:tabs>
          <w:tab w:val="left" w:pos="3685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85" w:firstLine="2579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 w:bidi="pl-PL"/>
        </w:rPr>
      </w:pPr>
    </w:p>
    <w:p w14:paraId="29CCCF19" w14:textId="77777777" w:rsidR="00A873C1" w:rsidRDefault="00A873C1">
      <w:pPr>
        <w:pStyle w:val="Standard"/>
      </w:pPr>
    </w:p>
    <w:sectPr w:rsidR="00A873C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1360" w14:textId="77777777" w:rsidR="00000000" w:rsidRDefault="001129E5">
      <w:r>
        <w:separator/>
      </w:r>
    </w:p>
  </w:endnote>
  <w:endnote w:type="continuationSeparator" w:id="0">
    <w:p w14:paraId="0E2CA552" w14:textId="77777777" w:rsidR="00000000" w:rsidRDefault="0011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1C5A1" w14:textId="77777777" w:rsidR="00000000" w:rsidRDefault="001129E5">
      <w:r>
        <w:rPr>
          <w:color w:val="000000"/>
        </w:rPr>
        <w:separator/>
      </w:r>
    </w:p>
  </w:footnote>
  <w:footnote w:type="continuationSeparator" w:id="0">
    <w:p w14:paraId="4B74265B" w14:textId="77777777" w:rsidR="00000000" w:rsidRDefault="00112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873C1"/>
    <w:rsid w:val="001129E5"/>
    <w:rsid w:val="00A8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BE1E"/>
  <w15:docId w15:val="{2CC5DD08-2FC1-465F-B707-483B03ED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next w:val="Standard"/>
    <w:pPr>
      <w:autoSpaceDE w:val="0"/>
    </w:pPr>
    <w:rPr>
      <w:rFonts w:ascii="Arial" w:eastAsia="Arial" w:hAnsi="Arial" w:cs="Arial"/>
    </w:rPr>
  </w:style>
  <w:style w:type="paragraph" w:customStyle="1" w:styleId="Domylnie">
    <w:name w:val="Domy?lnie"/>
    <w:basedOn w:val="Normal"/>
    <w:next w:val="Standard"/>
    <w:rPr>
      <w:rFonts w:ascii="Times New Roman" w:eastAsia="Times New Roman" w:hAnsi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724</Words>
  <Characters>4348</Characters>
  <Application>Microsoft Office Word</Application>
  <DocSecurity>4</DocSecurity>
  <Lines>36</Lines>
  <Paragraphs>10</Paragraphs>
  <ScaleCrop>false</ScaleCrop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Toczek</dc:creator>
  <cp:lastModifiedBy>Bogdan Wilk</cp:lastModifiedBy>
  <cp:revision>2</cp:revision>
  <dcterms:created xsi:type="dcterms:W3CDTF">2023-02-23T14:17:00Z</dcterms:created>
  <dcterms:modified xsi:type="dcterms:W3CDTF">2023-02-23T14:17:00Z</dcterms:modified>
</cp:coreProperties>
</file>